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C896" w14:textId="77777777" w:rsidR="004B6D52" w:rsidRPr="004B6D52" w:rsidRDefault="004B6D52" w:rsidP="004B6D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4B6D52">
        <w:rPr>
          <w:rFonts w:ascii="Verdana" w:eastAsia="Times New Roman" w:hAnsi="Verdana" w:cs="Segoe UI"/>
          <w:b/>
          <w:bCs/>
          <w:i/>
          <w:iCs/>
          <w:color w:val="000000"/>
          <w:sz w:val="20"/>
          <w:szCs w:val="20"/>
          <w:lang w:eastAsia="en-GB"/>
        </w:rPr>
        <w:t>Global Dental Accident and Emergency Assistance Scheme</w:t>
      </w:r>
    </w:p>
    <w:p w14:paraId="15B5D6A5" w14:textId="77777777" w:rsidR="004B6D52" w:rsidRPr="004B6D52" w:rsidRDefault="004B6D52" w:rsidP="004B6D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4B6D52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en-GB"/>
        </w:rPr>
        <w:t>Our dental plans include access to a Global Dental Accident and Emergency Assistance Scheme. The Scheme is established to offer support to patients who request assistance or treatment following an </w:t>
      </w:r>
      <w:r w:rsidRPr="004B6D52">
        <w:rPr>
          <w:rFonts w:ascii="Verdana" w:eastAsia="Times New Roman" w:hAnsi="Verdana" w:cs="Segoe UI"/>
          <w:b/>
          <w:bCs/>
          <w:i/>
          <w:iCs/>
          <w:color w:val="000000"/>
          <w:sz w:val="20"/>
          <w:szCs w:val="20"/>
          <w:lang w:eastAsia="en-GB"/>
        </w:rPr>
        <w:t>accident</w:t>
      </w:r>
      <w:r w:rsidRPr="004B6D52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en-GB"/>
        </w:rPr>
        <w:t>, a </w:t>
      </w:r>
      <w:r w:rsidRPr="004B6D52">
        <w:rPr>
          <w:rFonts w:ascii="Verdana" w:eastAsia="Times New Roman" w:hAnsi="Verdana" w:cs="Segoe UI"/>
          <w:b/>
          <w:bCs/>
          <w:i/>
          <w:iCs/>
          <w:color w:val="000000"/>
          <w:sz w:val="20"/>
          <w:szCs w:val="20"/>
          <w:lang w:eastAsia="en-GB"/>
        </w:rPr>
        <w:t>dental emergency</w:t>
      </w:r>
      <w:r w:rsidRPr="004B6D52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en-GB"/>
        </w:rPr>
        <w:t> or are diagnosed with </w:t>
      </w:r>
      <w:r w:rsidRPr="004B6D52">
        <w:rPr>
          <w:rFonts w:ascii="Verdana" w:eastAsia="Times New Roman" w:hAnsi="Verdana" w:cs="Segoe UI"/>
          <w:b/>
          <w:bCs/>
          <w:i/>
          <w:iCs/>
          <w:color w:val="000000"/>
          <w:sz w:val="20"/>
          <w:szCs w:val="20"/>
          <w:lang w:eastAsia="en-GB"/>
        </w:rPr>
        <w:t>mouth cancer</w:t>
      </w:r>
      <w:r w:rsidRPr="004B6D52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en-GB"/>
        </w:rPr>
        <w:t>.</w:t>
      </w:r>
    </w:p>
    <w:p w14:paraId="7BF83B99" w14:textId="77777777" w:rsidR="004B6D52" w:rsidRPr="004B6D52" w:rsidRDefault="004B6D52" w:rsidP="004B6D5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4B6D52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en-GB"/>
        </w:rPr>
        <w:t xml:space="preserve">Whilst the scheme aims to provide benefits in most cases, the scheme is a wholly discretionary scheme, not an insurance scheme. It has no obligation to provide benefits and the Scheme Manager will look at each request individually to decide </w:t>
      </w:r>
      <w:proofErr w:type="gramStart"/>
      <w:r w:rsidRPr="004B6D52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en-GB"/>
        </w:rPr>
        <w:t>whether or not</w:t>
      </w:r>
      <w:proofErr w:type="gramEnd"/>
      <w:r w:rsidRPr="004B6D52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en-GB"/>
        </w:rPr>
        <w:t xml:space="preserve"> to provide benefits.</w:t>
      </w:r>
    </w:p>
    <w:p w14:paraId="7D135D9B" w14:textId="77777777" w:rsidR="004B6D52" w:rsidRPr="004B6D52" w:rsidRDefault="004B6D52" w:rsidP="004B6D5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4B6D52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en-GB"/>
        </w:rPr>
        <w:t>Further details are available from the practice or you can visit </w:t>
      </w:r>
      <w:hyperlink r:id="rId4" w:tgtFrame="_blank" w:history="1">
        <w:r w:rsidRPr="004B6D52">
          <w:rPr>
            <w:rFonts w:ascii="Verdana" w:eastAsia="Times New Roman" w:hAnsi="Verdana" w:cs="Segoe UI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www.globaldentalscheme.co.uk</w:t>
        </w:r>
      </w:hyperlink>
      <w:r w:rsidRPr="004B6D52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en-GB"/>
        </w:rPr>
        <w:t> to find out more.</w:t>
      </w:r>
    </w:p>
    <w:p w14:paraId="6AFAFB6B" w14:textId="77777777" w:rsidR="004B6D52" w:rsidRPr="004B6D52" w:rsidRDefault="004B6D52" w:rsidP="004B6D5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0"/>
          <w:szCs w:val="20"/>
          <w:lang w:eastAsia="en-GB"/>
        </w:rPr>
      </w:pPr>
      <w:r w:rsidRPr="004B6D52">
        <w:rPr>
          <w:rFonts w:ascii="Verdana" w:eastAsia="Times New Roman" w:hAnsi="Verdana" w:cs="Segoe UI"/>
          <w:color w:val="000000"/>
          <w:sz w:val="20"/>
          <w:szCs w:val="20"/>
          <w:lang w:eastAsia="en-GB"/>
        </w:rPr>
        <w:t> </w:t>
      </w:r>
    </w:p>
    <w:p w14:paraId="5AA5AD69" w14:textId="77777777" w:rsidR="00A87A53" w:rsidRDefault="00A87A53"/>
    <w:sectPr w:rsidR="00A87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52"/>
    <w:rsid w:val="004B6D52"/>
    <w:rsid w:val="00A8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B297"/>
  <w15:chartTrackingRefBased/>
  <w15:docId w15:val="{64D6FAEC-788D-4ED5-9D59-4372E50D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13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4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6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93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70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5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7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61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00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70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34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885181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12" w:space="5" w:color="1010FF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31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ea01.safelinks.protection.outlook.com/?url=http%3A%2F%2Fwww.globaldentalscheme.co.uk%2F&amp;data=04%7C01%7C%7Ca79664f1630943656a0408d93fe61996%7C84df9e7fe9f640afb435aaaaaaaaaaaa%7C1%7C0%7C637611079777301318%7CUnknown%7CTWFpbGZsb3d8eyJWIjoiMC4wLjAwMDAiLCJQIjoiV2luMzIiLCJBTiI6Ik1haWwiLCJXVCI6Mn0%3D%7C1000&amp;sdata=%2B7ZeuHIN6aStPCMiuNkuh1a4tFrA5FPo%2FwYkCFvBG6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Norgren-Alarcon</dc:creator>
  <cp:keywords/>
  <dc:description/>
  <cp:lastModifiedBy>Anita Norgren-Alarcon</cp:lastModifiedBy>
  <cp:revision>1</cp:revision>
  <dcterms:created xsi:type="dcterms:W3CDTF">2021-07-06T17:24:00Z</dcterms:created>
  <dcterms:modified xsi:type="dcterms:W3CDTF">2021-07-06T17:25:00Z</dcterms:modified>
</cp:coreProperties>
</file>